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E4D" w:rsidRPr="00B8691A" w:rsidRDefault="00EB2E4D" w:rsidP="00EB2E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A7AF4">
        <w:rPr>
          <w:rFonts w:ascii="Times New Roman" w:hAnsi="Times New Roman" w:cs="Times New Roman"/>
          <w:b/>
          <w:sz w:val="24"/>
          <w:szCs w:val="24"/>
        </w:rPr>
        <w:t>РАЗЪЯСНЕНИЯ</w:t>
      </w:r>
      <w:r w:rsidR="00137107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Pr="00EB2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7AF4">
        <w:rPr>
          <w:rFonts w:ascii="Times New Roman" w:hAnsi="Times New Roman" w:cs="Times New Roman"/>
          <w:b/>
          <w:sz w:val="24"/>
          <w:szCs w:val="24"/>
        </w:rPr>
        <w:t xml:space="preserve">положений документации о проведении </w:t>
      </w:r>
      <w:r w:rsidR="00137107" w:rsidRPr="00137107">
        <w:rPr>
          <w:rFonts w:ascii="Times New Roman" w:hAnsi="Times New Roman" w:cs="Times New Roman"/>
          <w:b/>
          <w:sz w:val="24"/>
          <w:szCs w:val="24"/>
        </w:rPr>
        <w:t>аукциона в электронной форме</w:t>
      </w:r>
    </w:p>
    <w:p w:rsidR="00EB2E4D" w:rsidRPr="00137107" w:rsidRDefault="00137107" w:rsidP="00EB2E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107">
        <w:rPr>
          <w:rFonts w:ascii="Times New Roman" w:hAnsi="Times New Roman" w:cs="Times New Roman"/>
          <w:b/>
          <w:sz w:val="24"/>
          <w:szCs w:val="24"/>
        </w:rPr>
        <w:t>№ ОАЭФ-08/2019 на передачу сертификатов технической поддержки системы хранения, а также выполнение работ по созданию инфраструктуры хранения данных в подразделениях ФАУ «Главгосэкспертиза России»</w:t>
      </w:r>
    </w:p>
    <w:p w:rsidR="00137107" w:rsidRPr="00137107" w:rsidRDefault="00137107" w:rsidP="00EB2E4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913E0C" w:rsidRPr="00137107" w:rsidRDefault="00EB2E4D" w:rsidP="00137107">
      <w:pPr>
        <w:tabs>
          <w:tab w:val="left" w:pos="709"/>
        </w:tabs>
        <w:spacing w:after="0"/>
        <w:jc w:val="both"/>
      </w:pPr>
      <w:r w:rsidRPr="000425DE">
        <w:rPr>
          <w:rFonts w:ascii="Times New Roman" w:hAnsi="Times New Roman" w:cs="Times New Roman"/>
          <w:sz w:val="24"/>
          <w:szCs w:val="24"/>
        </w:rPr>
        <w:t>Дата поступления запроса: 21.08.2019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617"/>
        <w:gridCol w:w="4340"/>
        <w:gridCol w:w="4677"/>
        <w:gridCol w:w="5245"/>
      </w:tblGrid>
      <w:tr w:rsidR="00137107" w:rsidRPr="00137107" w:rsidTr="00137107">
        <w:tc>
          <w:tcPr>
            <w:tcW w:w="617" w:type="dxa"/>
          </w:tcPr>
          <w:p w:rsidR="00137107" w:rsidRPr="00137107" w:rsidRDefault="00137107" w:rsidP="00137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0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17" w:type="dxa"/>
            <w:gridSpan w:val="2"/>
            <w:vAlign w:val="center"/>
          </w:tcPr>
          <w:p w:rsidR="00137107" w:rsidRPr="00137107" w:rsidRDefault="00137107" w:rsidP="00137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07">
              <w:rPr>
                <w:rFonts w:ascii="Times New Roman" w:hAnsi="Times New Roman" w:cs="Times New Roman"/>
                <w:b/>
                <w:sz w:val="24"/>
                <w:szCs w:val="24"/>
              </w:rPr>
              <w:t>Запрос</w:t>
            </w:r>
          </w:p>
        </w:tc>
        <w:tc>
          <w:tcPr>
            <w:tcW w:w="5245" w:type="dxa"/>
            <w:vAlign w:val="center"/>
          </w:tcPr>
          <w:p w:rsidR="00137107" w:rsidRPr="00137107" w:rsidRDefault="00137107" w:rsidP="00137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07">
              <w:rPr>
                <w:rFonts w:ascii="Times New Roman" w:hAnsi="Times New Roman" w:cs="Times New Roman"/>
                <w:b/>
                <w:sz w:val="24"/>
                <w:szCs w:val="24"/>
              </w:rPr>
              <w:t>Ответ на запрос</w:t>
            </w:r>
          </w:p>
        </w:tc>
      </w:tr>
      <w:tr w:rsidR="00137107" w:rsidRPr="00137107" w:rsidTr="00137107">
        <w:trPr>
          <w:trHeight w:val="2437"/>
        </w:trPr>
        <w:tc>
          <w:tcPr>
            <w:tcW w:w="61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0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1. Требование: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Включать не менее 25 твердотельных накопителей SAS 12 Гбит/с с номинальной емкостью накопителя не менее 3.84 ТБ;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Просим изменить данное требования на: "Включать не менее 12 твердотельных накопителей SAS 12 Гбит/с с суммарной номинальной емкостью не менее 96 ТБ". 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Так как требование установки 25 дисков в корпус высотой 2U существенно ограничивает конкуренцию, поскольку такой конструктив мало распространен среди производителей СХД. При этом, СХД с например 14 твердотельными дисками по 7.68 ТБ может обеспечить производительность, аналогичную 25 твердотельным дискам по 3.84 ТБ.</w:t>
            </w:r>
          </w:p>
        </w:tc>
        <w:tc>
          <w:tcPr>
            <w:tcW w:w="5245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В Техническом задании отсутствует требование «включать не менее 25 твердотельных накопителей SAS 12 Гбит/с с номинальной емкостью накопителя не менее 3.84 ТБ»</w:t>
            </w:r>
          </w:p>
        </w:tc>
      </w:tr>
      <w:tr w:rsidR="00137107" w:rsidRPr="00137107" w:rsidTr="00137107">
        <w:trPr>
          <w:trHeight w:val="564"/>
        </w:trPr>
        <w:tc>
          <w:tcPr>
            <w:tcW w:w="61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0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2. Требование: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- Включенный в контроллерную пару объем оперативной памяти должен составлять не менее 256 ГБ, без учета емкостей хранения, предназначенных для кэширования (дополнительных модулей кэширования SSD/NVRAM/ FlashCache/NVMe);</w:t>
            </w:r>
          </w:p>
        </w:tc>
        <w:tc>
          <w:tcPr>
            <w:tcW w:w="467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Просим изменить данное требование на: "Включенный в контроллерную пару объем оперативной памяти должен составлять не менее 192 ГБ, без учета емкостей хранения, предназначенных для кэширования (дополнительных модулей кэширования SSD/NVRAM/ FlashCache/NVMe)"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Считаем что данное требование ограничивает конкуренцию, так как системы хранения класса all-flash имеют быструю подсистему хранения, поэтому как правило не нуждаются в столь большом объеме кэш-памяти.</w:t>
            </w:r>
          </w:p>
        </w:tc>
        <w:tc>
          <w:tcPr>
            <w:tcW w:w="5245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Объем в 256ГБ ОЗУ требуется в целях обеспечения стабильной работы технологий </w:t>
            </w:r>
            <w:r w:rsidRPr="00137107">
              <w:rPr>
                <w:rFonts w:ascii="Times New Roman" w:hAnsi="Times New Roman" w:cs="Times New Roman"/>
                <w:lang w:val="en-US"/>
              </w:rPr>
              <w:t>inline</w:t>
            </w:r>
            <w:r w:rsidRPr="00137107">
              <w:rPr>
                <w:rFonts w:ascii="Times New Roman" w:hAnsi="Times New Roman" w:cs="Times New Roman"/>
              </w:rPr>
              <w:t xml:space="preserve">-дедупликации и </w:t>
            </w:r>
            <w:r w:rsidRPr="00137107">
              <w:rPr>
                <w:rFonts w:ascii="Times New Roman" w:hAnsi="Times New Roman" w:cs="Times New Roman"/>
                <w:lang w:val="en-US"/>
              </w:rPr>
              <w:t>inline</w:t>
            </w:r>
            <w:r w:rsidRPr="00137107">
              <w:rPr>
                <w:rFonts w:ascii="Times New Roman" w:hAnsi="Times New Roman" w:cs="Times New Roman"/>
              </w:rPr>
              <w:t>-компрессии. Ведущие производители массивов хранения имеют в своей продуктовой линейке модели, не только отвечающие данному требованию, но и многократно превышающие запрошенное значение. В числе производителей/моделей оборудования, отвечающего данному требованию: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- Huawei Dorado 5000/6000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  <w:lang w:val="en-US"/>
              </w:rPr>
            </w:pPr>
            <w:r w:rsidRPr="00137107">
              <w:rPr>
                <w:rFonts w:ascii="Times New Roman" w:hAnsi="Times New Roman" w:cs="Times New Roman"/>
                <w:lang w:val="en-US"/>
              </w:rPr>
              <w:t>- Dell/EMC SC7020F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  <w:lang w:val="en-US"/>
              </w:rPr>
            </w:pPr>
            <w:r w:rsidRPr="00137107">
              <w:rPr>
                <w:rFonts w:ascii="Times New Roman" w:hAnsi="Times New Roman" w:cs="Times New Roman"/>
                <w:lang w:val="en-US"/>
              </w:rPr>
              <w:t>- Dell/EMC Unity 680F/880F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  <w:lang w:val="en-US"/>
              </w:rPr>
            </w:pPr>
            <w:r w:rsidRPr="00137107">
              <w:rPr>
                <w:rFonts w:ascii="Times New Roman" w:hAnsi="Times New Roman" w:cs="Times New Roman"/>
                <w:lang w:val="en-US"/>
              </w:rPr>
              <w:t>- HPE 3PAR 9450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  <w:lang w:val="en-US"/>
              </w:rPr>
            </w:pPr>
            <w:r w:rsidRPr="00137107">
              <w:rPr>
                <w:rFonts w:ascii="Times New Roman" w:hAnsi="Times New Roman" w:cs="Times New Roman"/>
                <w:lang w:val="en-US"/>
              </w:rPr>
              <w:t>- IBM V5000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  <w:lang w:val="en-US"/>
              </w:rPr>
            </w:pPr>
            <w:r w:rsidRPr="00137107">
              <w:rPr>
                <w:rFonts w:ascii="Times New Roman" w:hAnsi="Times New Roman" w:cs="Times New Roman"/>
                <w:lang w:val="en-US"/>
              </w:rPr>
              <w:t>- NetApp AFF700/AFF8000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  <w:lang w:val="en-US"/>
              </w:rPr>
            </w:pPr>
            <w:r w:rsidRPr="00137107">
              <w:rPr>
                <w:rFonts w:ascii="Times New Roman" w:hAnsi="Times New Roman" w:cs="Times New Roman"/>
                <w:lang w:val="en-US"/>
              </w:rPr>
              <w:t>- AERODISK ENGINE N2/N4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  <w:lang w:val="en-US"/>
              </w:rPr>
            </w:pPr>
            <w:r w:rsidRPr="00137107">
              <w:rPr>
                <w:rFonts w:ascii="Times New Roman" w:hAnsi="Times New Roman" w:cs="Times New Roman"/>
                <w:lang w:val="en-US"/>
              </w:rPr>
              <w:t>- QTECH QSRV-2524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Таким образом, данное требование не ограничивает конкуренцию.</w:t>
            </w:r>
          </w:p>
        </w:tc>
      </w:tr>
      <w:tr w:rsidR="00137107" w:rsidRPr="00137107" w:rsidTr="00137107">
        <w:trPr>
          <w:trHeight w:val="1271"/>
        </w:trPr>
        <w:tc>
          <w:tcPr>
            <w:tcW w:w="61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40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3. Требование: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­   Обеспечивать хранение данных в конфигурациях, устойчивых к одновременному выходу из строя: 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&lt;…&gt;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Трех твердотельных накопителей;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&lt;…&gt;</w:t>
            </w:r>
          </w:p>
        </w:tc>
        <w:tc>
          <w:tcPr>
            <w:tcW w:w="467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Просим исключить данное требование, так как оно ограничивает конкуренцию и не улучшает характеристик системы в виду того, что в зависимости от размера и количества групп дисков в системе хранения данных требуемый уровень надежности может быть достигнут и с использованием традиционных уровней защиты от одновременного выхода из строя одного или двух дисков в группе.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Данная организация хранения данных мало распространена среди производителей СХД.  При этом, твердотельные накопители значительно надежнее механических и перестроение данных на них происходит значительно быстрее. 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Таким образом, вероятность одновременного выхода из строя сразу трех накопителей крайне мала.</w:t>
            </w:r>
          </w:p>
        </w:tc>
        <w:tc>
          <w:tcPr>
            <w:tcW w:w="5245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Требование к уровню надежности массива, а именно устойчивость массива к одновременному выходу из строя трех дисков, обусловлено тем, что массивы хранения заказываются со средним уровнем сервисной поддержки (NBD - следующий рабочий день) как в части реакции, так и в части выполнения сервисных работ. С учетом того, что массивы хранения будут размещены в региональных офисах, что накладывает дополнительные временные издержки, связанные с логистикой, а риск множественного выхода из строя накопителей из одной производственной партии повышается из-за фактора возможного производственного брака, Заказчик считает необходимым обеспечить максимальную защиту данных, в том числе, за счет поддержки системой хранения ситуаций с множественными отказами носителей.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Данная технология поддерживается как иностранными (Huawei, NetApp, Infinidat и др.) и российскими производителями (Aerodisk, RAIDIX и др.) Требование не ограничивает конкуренцию.</w:t>
            </w:r>
          </w:p>
        </w:tc>
      </w:tr>
      <w:tr w:rsidR="00137107" w:rsidRPr="00137107" w:rsidTr="00137107">
        <w:trPr>
          <w:trHeight w:val="564"/>
        </w:trPr>
        <w:tc>
          <w:tcPr>
            <w:tcW w:w="61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0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4. Требование: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   Обеспечивать функционал «виртуализация внешних массивов данных» (в общем случае технология представляет собой возможность репрезентации логических томов массивов хранения сторонних производителей, посредством которой становится возможным использовать другие, уже имеющиеся СХД, в том числе консолидировать все сторонние массивы через одну СХД, а также осуществлять миграцию данных в фоновом режиме, прозрачно для клиентских устройств SAN);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Просим разъяснить для чего заказчик планирует использовать виртуализацию внешних массивов данных и какие массивы виртуализовывать? 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Данны функционал у каждого производителя имеет список совместимости с линейками, моделями и версиями встроенного ПО сторонних массивов, а также особенности реализации в каждом конкретном случае. 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Просим дополнить данное требование списком из производителей, моделей, версий их встроенного ПО и используемых топологий и технологий связи с ними, либо данное требование исключить. 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По текущей редакции данного требования невозможно сделать вывод о способности предлагаемой СХД виртуализовать набор из имеющихся у заказчика СХД, поскольку этот набор не представлен в ТЗ.</w:t>
            </w:r>
          </w:p>
        </w:tc>
        <w:tc>
          <w:tcPr>
            <w:tcW w:w="5245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Виртуализация массивов предполагается для обеспечения возможности централизованного управления всеми СХД филиалов из одной точки.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Виртуализировать предполагается массивы хранения Dell </w:t>
            </w:r>
            <w:r w:rsidRPr="00137107">
              <w:rPr>
                <w:rFonts w:ascii="Times New Roman" w:hAnsi="Times New Roman" w:cs="Times New Roman"/>
                <w:lang w:val="en-US"/>
              </w:rPr>
              <w:t>CT</w:t>
            </w:r>
            <w:r w:rsidRPr="00137107">
              <w:rPr>
                <w:rFonts w:ascii="Times New Roman" w:hAnsi="Times New Roman" w:cs="Times New Roman"/>
              </w:rPr>
              <w:t>-SC4020 (версия 7.2.11.4).</w:t>
            </w:r>
          </w:p>
        </w:tc>
      </w:tr>
      <w:tr w:rsidR="00137107" w:rsidRPr="00137107" w:rsidTr="00137107">
        <w:trPr>
          <w:trHeight w:val="4532"/>
        </w:trPr>
        <w:tc>
          <w:tcPr>
            <w:tcW w:w="61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40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5. Сочетание требований: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              Обеспечивать функционал «метрокластер» в режиме ACTIVE/ACTIVE без применения внешних шлюзов (Gateway Free A/A Solution) (в общем случае технология представляет собой возможность предоставления единовременного доступа на чтение и запись к логическому тому, имеющему две независимые копии на физически разных массивах, расположенных в разных центрах обработки данных, в прозрачном режиме для клиентских устройств SAN вне зависимости от их размещения в пределах SAN). Режим функционирования "метрокластера" AСTIVE/ACTIVE должен обеспечивать возможность осуществления операции чтения и записи данных на кластеризованный логический том на любом массиве хранения в любом центре обработки данных, а также осуществлять балансировку нагрузки на массивы хранения в зависимости от размещения клиентского оборудования SAN, снижая тем самым время отклика дисковой подсистемы и нагрузку на магистральные каналы связи между центрами обработки данных;</w:t>
            </w:r>
          </w:p>
          <w:p w:rsidR="00137107" w:rsidRPr="00137107" w:rsidRDefault="00137107" w:rsidP="00137107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Функционал «метрокластера» должен поддерживать следующие сценарии работы со следующими подтвержденными результатами: Существующая система хранения данных Huawei OceanStor Dorado 5000v3 (СХД №2) </w:t>
            </w:r>
          </w:p>
        </w:tc>
        <w:tc>
          <w:tcPr>
            <w:tcW w:w="4677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Требование реализации метрокластера без использования внешних шлюзов виртуализации сужает конкуренцию до одного производителя, СХД компании Huawei.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 xml:space="preserve">СХД каждого производителя имеют специфическое внутреннее устройство - способ использования дискового пространства, представление пользовательских данных, структура служебных данных, протоколы взаимодействия между массивами и тд. Поэтому СХД разных производителей не могут быть кластеризованы между собой без использования внешних шлюзов виртуализации. Использование таких шлюзов ТЗ запрещает. </w:t>
            </w: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</w:p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Несовместимость СХД разных производителей имеет место не только для кластеризации, но и для других видов взаимодействия разных СХД между собой, например репликации данных или объединения в федерацию для балансировки или совместного управления. Просим исключить формулировку " без применения внешних шлюзов (Gateway Free A/A Solution)", поскольку ее наличие ограничивает конкуренцию до одного производителя</w:t>
            </w:r>
          </w:p>
        </w:tc>
        <w:tc>
          <w:tcPr>
            <w:tcW w:w="5245" w:type="dxa"/>
          </w:tcPr>
          <w:p w:rsidR="00137107" w:rsidRPr="00137107" w:rsidRDefault="00137107" w:rsidP="004B3268">
            <w:pPr>
              <w:rPr>
                <w:rFonts w:ascii="Times New Roman" w:hAnsi="Times New Roman" w:cs="Times New Roman"/>
              </w:rPr>
            </w:pPr>
            <w:r w:rsidRPr="00137107">
              <w:rPr>
                <w:rFonts w:ascii="Times New Roman" w:hAnsi="Times New Roman" w:cs="Times New Roman"/>
              </w:rPr>
              <w:t>В Техническом задании отсутствует требование «Обеспечивать функционал «метрокластер» в режиме ACTIVE/ACTIVE без применения внешних шлюзов»</w:t>
            </w:r>
          </w:p>
        </w:tc>
      </w:tr>
    </w:tbl>
    <w:p w:rsidR="00137107" w:rsidRPr="00806234" w:rsidRDefault="00137107" w:rsidP="00B97360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97360" w:rsidRPr="00806234" w:rsidRDefault="00B97360" w:rsidP="00B973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6234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Дополнительно, сообщаем, целью правового регулирования </w:t>
      </w:r>
      <w:r w:rsidR="00806234" w:rsidRPr="0080623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18.07.2011 №  223-ФЗ «О закупках товаров, работ, услуг отдельными видами юридических лиц» (далее - </w:t>
      </w:r>
      <w:r w:rsidRPr="00806234">
        <w:rPr>
          <w:rFonts w:ascii="Times New Roman" w:eastAsia="Times New Roman" w:hAnsi="Times New Roman"/>
          <w:sz w:val="24"/>
          <w:szCs w:val="24"/>
          <w:lang w:eastAsia="ru-RU"/>
        </w:rPr>
        <w:t>Закона 223-ФЗ</w:t>
      </w:r>
      <w:r w:rsidR="00806234" w:rsidRPr="0080623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806234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создание условий для своевременного и полного удовлетворения потребностей юридических лиц в товарах, работах, услугах, </w:t>
      </w:r>
      <w:r w:rsidRPr="00806234">
        <w:rPr>
          <w:rFonts w:ascii="Times New Roman" w:eastAsia="Times New Roman" w:hAnsi="Times New Roman"/>
          <w:b/>
          <w:sz w:val="24"/>
          <w:szCs w:val="24"/>
          <w:lang w:eastAsia="ru-RU"/>
        </w:rPr>
        <w:t>с необходимыми показателями цены, качества и надежности,</w:t>
      </w:r>
      <w:r w:rsidRPr="00806234">
        <w:rPr>
          <w:rFonts w:ascii="Times New Roman" w:eastAsia="Times New Roman" w:hAnsi="Times New Roman"/>
          <w:sz w:val="24"/>
          <w:szCs w:val="24"/>
          <w:lang w:eastAsia="ru-RU"/>
        </w:rPr>
        <w:t xml:space="preserve"> эффективное использование денежных </w:t>
      </w:r>
      <w:r w:rsidRPr="0080623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средств, расширение возможностей участия юридических и физических лиц в закупке. Таким образом, целью правового регулирования </w:t>
      </w:r>
      <w:hyperlink r:id="rId7" w:history="1">
        <w:r w:rsidRPr="00806234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806234">
        <w:rPr>
          <w:rFonts w:ascii="Times New Roman" w:eastAsia="Times New Roman" w:hAnsi="Times New Roman"/>
          <w:sz w:val="24"/>
          <w:szCs w:val="24"/>
          <w:lang w:eastAsia="ru-RU"/>
        </w:rPr>
        <w:t xml:space="preserve"> 223-ФЗ является не обеспечение доступа к закупке как можно большему количеству участников, </w:t>
      </w:r>
      <w:r w:rsidRPr="00806234">
        <w:rPr>
          <w:rFonts w:ascii="Times New Roman" w:eastAsia="Times New Roman" w:hAnsi="Times New Roman"/>
          <w:b/>
          <w:sz w:val="24"/>
          <w:szCs w:val="24"/>
          <w:lang w:eastAsia="ru-RU"/>
        </w:rPr>
        <w:t>а качественное удовлетворение потребностей заказчика</w:t>
      </w:r>
      <w:r w:rsidRPr="00806234">
        <w:rPr>
          <w:rFonts w:ascii="Times New Roman" w:eastAsia="Times New Roman" w:hAnsi="Times New Roman"/>
          <w:sz w:val="24"/>
          <w:szCs w:val="24"/>
          <w:lang w:eastAsia="ru-RU"/>
        </w:rPr>
        <w:t>. Указанный вывод неоднократно подтвержден определениями Верховного Суда РФ (№ 310-КГ17-23534 от 27.02.2018, № 309-КГ17-21059 от 25.01.2018, № 307-КГ17-14900 от 19.10.2017 и т.д.), а также решениями антимонопольных органов (Решение Архангельского УФАС России от 27.01.2016 по делу N 33оз-16, Решение Иркутского УФАС России от 28.09.2017 N 983 и т.д.).</w:t>
      </w:r>
      <w:r w:rsidR="00806234" w:rsidRPr="008062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6234">
        <w:rPr>
          <w:rFonts w:ascii="Times New Roman" w:hAnsi="Times New Roman" w:cs="Times New Roman"/>
          <w:sz w:val="24"/>
          <w:szCs w:val="24"/>
        </w:rPr>
        <w:t xml:space="preserve">В соответствии с п. 6 </w:t>
      </w:r>
      <w:r w:rsidRPr="00806234">
        <w:rPr>
          <w:rFonts w:ascii="Times New Roman" w:hAnsi="Times New Roman" w:cs="Times New Roman"/>
          <w:b/>
          <w:sz w:val="24"/>
          <w:szCs w:val="24"/>
        </w:rPr>
        <w:t>Обзора судебной практики по вопросам, связанным с применением Закона о закупках (утверждены Президиумом Верховного Суда Российской Федерации 16.05.2018)</w:t>
      </w:r>
      <w:r w:rsidRPr="00806234">
        <w:rPr>
          <w:rFonts w:ascii="Times New Roman" w:hAnsi="Times New Roman" w:cs="Times New Roman"/>
          <w:sz w:val="24"/>
          <w:szCs w:val="24"/>
        </w:rPr>
        <w:t xml:space="preserve"> принцип равноправия, в силу п. 2 ч. 1 ст. 3 Закона 223-ФЗ, предполагает недопустимость предъявления различных требований к участникам закупки, находящимся в одинаковом положении, в отсутствие к тому причин объективного и разумного характера. Согласно п. 6 Обзора судебной практики - Закон 223-ФЗ не обязывает заказчиков допускать к участию в закупке </w:t>
      </w:r>
      <w:r w:rsidRPr="00806234">
        <w:rPr>
          <w:rFonts w:ascii="Times New Roman" w:hAnsi="Times New Roman" w:cs="Times New Roman"/>
          <w:b/>
          <w:sz w:val="24"/>
          <w:szCs w:val="24"/>
        </w:rPr>
        <w:t>всех хозяйствующих субъектов, имеющих намерение получить прибыль в результате заключения договора.</w:t>
      </w:r>
      <w:r w:rsidRPr="00806234">
        <w:rPr>
          <w:rFonts w:ascii="Times New Roman" w:hAnsi="Times New Roman" w:cs="Times New Roman"/>
          <w:sz w:val="24"/>
          <w:szCs w:val="24"/>
        </w:rPr>
        <w:t xml:space="preserve"> Иное противоречило бы принципу целевого и экономически эффективного расходования денежных средств, сокращения издержек заказчика, закрепленному пунктом </w:t>
      </w:r>
      <w:r w:rsidRPr="00806234">
        <w:rPr>
          <w:rFonts w:ascii="Times New Roman" w:hAnsi="Times New Roman" w:cs="Times New Roman"/>
          <w:sz w:val="24"/>
          <w:szCs w:val="24"/>
        </w:rPr>
        <w:lastRenderedPageBreak/>
        <w:t>3 части 1 статьи 3 Закона 223-ФЗ и предполагающему наличие у заказчика права на установление в закупочной документации способствующих тому требований к</w:t>
      </w:r>
      <w:r w:rsidR="00806234" w:rsidRPr="00806234">
        <w:rPr>
          <w:rFonts w:ascii="Times New Roman" w:hAnsi="Times New Roman" w:cs="Times New Roman"/>
          <w:sz w:val="24"/>
          <w:szCs w:val="24"/>
        </w:rPr>
        <w:t xml:space="preserve"> необходимому</w:t>
      </w:r>
      <w:r w:rsidRPr="00806234">
        <w:rPr>
          <w:rFonts w:ascii="Times New Roman" w:hAnsi="Times New Roman" w:cs="Times New Roman"/>
          <w:sz w:val="24"/>
          <w:szCs w:val="24"/>
        </w:rPr>
        <w:t xml:space="preserve"> </w:t>
      </w:r>
      <w:r w:rsidR="00806234" w:rsidRPr="00806234">
        <w:rPr>
          <w:rFonts w:ascii="Times New Roman" w:hAnsi="Times New Roman" w:cs="Times New Roman"/>
          <w:sz w:val="24"/>
          <w:szCs w:val="24"/>
        </w:rPr>
        <w:t xml:space="preserve">товару и </w:t>
      </w:r>
      <w:r w:rsidRPr="00806234">
        <w:rPr>
          <w:rFonts w:ascii="Times New Roman" w:hAnsi="Times New Roman" w:cs="Times New Roman"/>
          <w:sz w:val="24"/>
          <w:szCs w:val="24"/>
        </w:rPr>
        <w:t xml:space="preserve">участникам закупки. </w:t>
      </w:r>
    </w:p>
    <w:p w:rsidR="00B97360" w:rsidRPr="00806234" w:rsidRDefault="00B97360" w:rsidP="00B9736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B2E4D" w:rsidRPr="00806234" w:rsidRDefault="00EB2E4D">
      <w:pPr>
        <w:rPr>
          <w:sz w:val="24"/>
          <w:szCs w:val="24"/>
        </w:rPr>
      </w:pPr>
      <w:r w:rsidRPr="00806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начальника Финансово-экономического управления</w:t>
      </w:r>
      <w:r w:rsidRPr="00806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Д.Р. Харисова</w:t>
      </w:r>
    </w:p>
    <w:sectPr w:rsidR="00EB2E4D" w:rsidRPr="00806234" w:rsidSect="00137107">
      <w:pgSz w:w="16839" w:h="11907" w:orient="landscape" w:code="9"/>
      <w:pgMar w:top="567" w:right="1134" w:bottom="850" w:left="1134" w:header="708" w:footer="2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520" w:rsidRDefault="000D6520" w:rsidP="00137107">
      <w:pPr>
        <w:spacing w:after="0" w:line="240" w:lineRule="auto"/>
      </w:pPr>
      <w:r>
        <w:separator/>
      </w:r>
    </w:p>
  </w:endnote>
  <w:endnote w:type="continuationSeparator" w:id="0">
    <w:p w:rsidR="000D6520" w:rsidRDefault="000D6520" w:rsidP="00137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520" w:rsidRDefault="000D6520" w:rsidP="00137107">
      <w:pPr>
        <w:spacing w:after="0" w:line="240" w:lineRule="auto"/>
      </w:pPr>
      <w:r>
        <w:separator/>
      </w:r>
    </w:p>
  </w:footnote>
  <w:footnote w:type="continuationSeparator" w:id="0">
    <w:p w:rsidR="000D6520" w:rsidRDefault="000D6520" w:rsidP="00137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33C48"/>
    <w:multiLevelType w:val="hybridMultilevel"/>
    <w:tmpl w:val="62DCF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04DC8"/>
    <w:multiLevelType w:val="hybridMultilevel"/>
    <w:tmpl w:val="F452A44C"/>
    <w:lvl w:ilvl="0" w:tplc="4656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1726B"/>
    <w:multiLevelType w:val="hybridMultilevel"/>
    <w:tmpl w:val="67F0E9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DE"/>
    <w:rsid w:val="00077E2D"/>
    <w:rsid w:val="000D6520"/>
    <w:rsid w:val="00137107"/>
    <w:rsid w:val="00143A98"/>
    <w:rsid w:val="00176B4E"/>
    <w:rsid w:val="001B7719"/>
    <w:rsid w:val="002B6517"/>
    <w:rsid w:val="004979BE"/>
    <w:rsid w:val="006849DE"/>
    <w:rsid w:val="00751B46"/>
    <w:rsid w:val="00806234"/>
    <w:rsid w:val="0083130D"/>
    <w:rsid w:val="00913E0C"/>
    <w:rsid w:val="00980AAF"/>
    <w:rsid w:val="00B91F15"/>
    <w:rsid w:val="00B97360"/>
    <w:rsid w:val="00CA1E55"/>
    <w:rsid w:val="00D365C0"/>
    <w:rsid w:val="00D65A79"/>
    <w:rsid w:val="00EB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21B28-9637-4A6E-8E17-74C3C095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4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unhideWhenUsed/>
    <w:rsid w:val="006849DE"/>
    <w:pPr>
      <w:spacing w:after="0" w:line="240" w:lineRule="auto"/>
    </w:pPr>
    <w:rPr>
      <w:rFonts w:ascii="Calibri" w:hAnsi="Calibri"/>
      <w:szCs w:val="21"/>
    </w:rPr>
  </w:style>
  <w:style w:type="character" w:customStyle="1" w:styleId="a5">
    <w:name w:val="Текст Знак"/>
    <w:basedOn w:val="a0"/>
    <w:link w:val="a4"/>
    <w:uiPriority w:val="99"/>
    <w:rsid w:val="006849DE"/>
    <w:rPr>
      <w:rFonts w:ascii="Calibri" w:hAnsi="Calibri"/>
      <w:szCs w:val="21"/>
    </w:rPr>
  </w:style>
  <w:style w:type="paragraph" w:customStyle="1" w:styleId="a6">
    <w:name w:val="Основной"/>
    <w:basedOn w:val="a"/>
    <w:qFormat/>
    <w:rsid w:val="0068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ГС_Основной_текст"/>
    <w:link w:val="a8"/>
    <w:rsid w:val="006849DE"/>
    <w:pPr>
      <w:tabs>
        <w:tab w:val="left" w:pos="851"/>
        <w:tab w:val="left" w:pos="7050"/>
      </w:tabs>
      <w:spacing w:after="0" w:line="288" w:lineRule="auto"/>
      <w:ind w:firstLine="709"/>
      <w:contextualSpacing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ГС_Основной_текст Знак"/>
    <w:link w:val="a7"/>
    <w:rsid w:val="006849DE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6849DE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176B4E"/>
    <w:pPr>
      <w:ind w:left="720"/>
      <w:contextualSpacing/>
    </w:pPr>
  </w:style>
  <w:style w:type="paragraph" w:styleId="ab">
    <w:name w:val="caption"/>
    <w:basedOn w:val="a"/>
    <w:next w:val="a"/>
    <w:uiPriority w:val="35"/>
    <w:unhideWhenUsed/>
    <w:qFormat/>
    <w:rsid w:val="00176B4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EB2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2E4D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13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37107"/>
  </w:style>
  <w:style w:type="paragraph" w:styleId="af0">
    <w:name w:val="footer"/>
    <w:basedOn w:val="a"/>
    <w:link w:val="af1"/>
    <w:uiPriority w:val="99"/>
    <w:unhideWhenUsed/>
    <w:rsid w:val="0013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37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EECA50E1B6C2F320F4DA31BBFC81923CC42D24DE1843790942B513CE611D65F6E6BFBAB83FD637BCA5B9EB4BB9T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1506</Words>
  <Characters>8586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Эркенова Виктория Вячеславовна</dc:creator>
  <cp:lastModifiedBy>Шагина Татьяна Евгеньевна</cp:lastModifiedBy>
  <cp:revision>2</cp:revision>
  <cp:lastPrinted>2019-08-22T14:24:00Z</cp:lastPrinted>
  <dcterms:created xsi:type="dcterms:W3CDTF">2019-08-22T14:30:00Z</dcterms:created>
  <dcterms:modified xsi:type="dcterms:W3CDTF">2019-08-22T14:30:00Z</dcterms:modified>
</cp:coreProperties>
</file>